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D96" w:rsidRDefault="00543D96" w:rsidP="00543D96">
      <w:pPr>
        <w:autoSpaceDE w:val="0"/>
        <w:autoSpaceDN w:val="0"/>
        <w:adjustRightInd w:val="0"/>
        <w:spacing w:after="0" w:line="240" w:lineRule="auto"/>
        <w:jc w:val="center"/>
        <w:rPr>
          <w:rFonts w:ascii="Arial-Bold" w:hAnsi="Arial-Bold" w:cs="Arial-Bold"/>
          <w:b/>
          <w:bCs/>
        </w:rPr>
      </w:pPr>
      <w:bookmarkStart w:id="0" w:name="_GoBack"/>
      <w:bookmarkEnd w:id="0"/>
    </w:p>
    <w:p w:rsidR="00543D96" w:rsidRDefault="00543D96" w:rsidP="00543D96">
      <w:pPr>
        <w:autoSpaceDE w:val="0"/>
        <w:autoSpaceDN w:val="0"/>
        <w:adjustRightInd w:val="0"/>
        <w:spacing w:after="0" w:line="240" w:lineRule="auto"/>
        <w:ind w:left="708"/>
        <w:rPr>
          <w:rFonts w:ascii="Arial-Bold" w:hAnsi="Arial-Bold" w:cs="Arial-Bold"/>
          <w:b/>
          <w:bCs/>
        </w:rPr>
      </w:pPr>
      <w:r>
        <w:rPr>
          <w:rFonts w:ascii="Wingdings" w:hAnsi="Wingdings" w:cs="Wingdings"/>
        </w:rPr>
        <w:t></w:t>
      </w:r>
      <w:r>
        <w:rPr>
          <w:rFonts w:ascii="Wingdings" w:hAnsi="Wingdings" w:cs="Wingdings"/>
        </w:rPr>
        <w:t></w:t>
      </w:r>
      <w:r>
        <w:rPr>
          <w:rFonts w:ascii="Arial-Bold" w:hAnsi="Arial-Bold" w:cs="Arial-Bold"/>
          <w:b/>
          <w:bCs/>
        </w:rPr>
        <w:t>Des critères d’âge (impératifs) étendus en 2022 :</w:t>
      </w:r>
    </w:p>
    <w:p w:rsidR="00154AA9" w:rsidRDefault="00543D96" w:rsidP="00543D96">
      <w:pPr>
        <w:autoSpaceDE w:val="0"/>
        <w:autoSpaceDN w:val="0"/>
        <w:adjustRightInd w:val="0"/>
        <w:spacing w:after="0" w:line="240" w:lineRule="auto"/>
        <w:jc w:val="both"/>
        <w:rPr>
          <w:rFonts w:ascii="Arial" w:hAnsi="Arial" w:cs="Arial"/>
        </w:rPr>
      </w:pPr>
      <w:r>
        <w:rPr>
          <w:rFonts w:ascii="Times New Roman" w:hAnsi="Times New Roman" w:cs="Times New Roman"/>
        </w:rPr>
        <w:t xml:space="preserve">- </w:t>
      </w:r>
      <w:r>
        <w:rPr>
          <w:rFonts w:ascii="Arial" w:hAnsi="Arial" w:cs="Arial"/>
        </w:rPr>
        <w:t>16-25 ans révolus sur l’ensemble du territoire hexagonal (avec une extension possible jusqu’à 30</w:t>
      </w:r>
      <w:r w:rsidR="00154AA9">
        <w:rPr>
          <w:rFonts w:ascii="Arial" w:hAnsi="Arial" w:cs="Arial"/>
        </w:rPr>
        <w:t xml:space="preserve"> </w:t>
      </w:r>
      <w:r>
        <w:rPr>
          <w:rFonts w:ascii="Arial" w:hAnsi="Arial" w:cs="Arial"/>
        </w:rPr>
        <w:t xml:space="preserve">ans non révolus en cas de difficultés d’insertion </w:t>
      </w:r>
      <w:proofErr w:type="gramStart"/>
      <w:r>
        <w:rPr>
          <w:rFonts w:ascii="Arial" w:hAnsi="Arial" w:cs="Arial"/>
        </w:rPr>
        <w:t>particuliè</w:t>
      </w:r>
      <w:r w:rsidR="00154AA9">
        <w:rPr>
          <w:rFonts w:ascii="Arial" w:hAnsi="Arial" w:cs="Arial"/>
        </w:rPr>
        <w:t>res )</w:t>
      </w:r>
      <w:proofErr w:type="gramEnd"/>
      <w:r>
        <w:rPr>
          <w:rFonts w:ascii="Arial" w:hAnsi="Arial" w:cs="Arial"/>
        </w:rPr>
        <w:t xml:space="preserve"> </w:t>
      </w:r>
    </w:p>
    <w:p w:rsidR="00543D96" w:rsidRDefault="00543D96" w:rsidP="00543D96">
      <w:pPr>
        <w:autoSpaceDE w:val="0"/>
        <w:autoSpaceDN w:val="0"/>
        <w:adjustRightInd w:val="0"/>
        <w:spacing w:after="0" w:line="240" w:lineRule="auto"/>
        <w:jc w:val="both"/>
        <w:rPr>
          <w:rFonts w:ascii="Arial" w:hAnsi="Arial" w:cs="Arial"/>
        </w:rPr>
      </w:pPr>
      <w:r>
        <w:rPr>
          <w:rFonts w:ascii="Times New Roman" w:hAnsi="Times New Roman" w:cs="Times New Roman"/>
        </w:rPr>
        <w:t xml:space="preserve">- </w:t>
      </w:r>
      <w:r>
        <w:rPr>
          <w:rFonts w:ascii="Arial" w:hAnsi="Arial" w:cs="Arial"/>
        </w:rPr>
        <w:t>16-30 ans non révolus pour les personnes reconnues en situation de handicap</w:t>
      </w:r>
    </w:p>
    <w:p w:rsidR="00543D96" w:rsidRDefault="00543D96" w:rsidP="00543D96">
      <w:pPr>
        <w:autoSpaceDE w:val="0"/>
        <w:autoSpaceDN w:val="0"/>
        <w:adjustRightInd w:val="0"/>
        <w:spacing w:after="0" w:line="240" w:lineRule="auto"/>
        <w:jc w:val="both"/>
        <w:rPr>
          <w:rFonts w:ascii="Arial" w:hAnsi="Arial" w:cs="Arial"/>
        </w:rPr>
      </w:pPr>
    </w:p>
    <w:p w:rsidR="00543D96" w:rsidRDefault="00543D96" w:rsidP="00543D96">
      <w:pPr>
        <w:autoSpaceDE w:val="0"/>
        <w:autoSpaceDN w:val="0"/>
        <w:adjustRightInd w:val="0"/>
        <w:spacing w:after="0" w:line="240" w:lineRule="auto"/>
        <w:jc w:val="both"/>
        <w:rPr>
          <w:rFonts w:ascii="Arial-Bold" w:hAnsi="Arial-Bold" w:cs="Arial-Bold"/>
          <w:b/>
          <w:bCs/>
        </w:rPr>
      </w:pPr>
      <w:r>
        <w:rPr>
          <w:rFonts w:ascii="Arial-Bold" w:hAnsi="Arial-Bold" w:cs="Arial-Bold"/>
          <w:b/>
          <w:bCs/>
        </w:rPr>
        <w:t xml:space="preserve">ET </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ind w:left="708"/>
        <w:jc w:val="both"/>
        <w:rPr>
          <w:rFonts w:ascii="Arial-Bold" w:hAnsi="Arial-Bold" w:cs="Arial-Bold"/>
          <w:b/>
          <w:bCs/>
        </w:rPr>
      </w:pPr>
      <w:r>
        <w:rPr>
          <w:rFonts w:ascii="Wingdings" w:hAnsi="Wingdings" w:cs="Wingdings"/>
        </w:rPr>
        <w:t></w:t>
      </w:r>
      <w:r>
        <w:rPr>
          <w:rFonts w:ascii="Wingdings" w:hAnsi="Wingdings" w:cs="Wingdings"/>
        </w:rPr>
        <w:t></w:t>
      </w:r>
      <w:r>
        <w:rPr>
          <w:rFonts w:ascii="Arial-Bold" w:hAnsi="Arial-Bold" w:cs="Arial-Bold"/>
          <w:b/>
          <w:bCs/>
        </w:rPr>
        <w:t>Des critères géographiques :</w:t>
      </w:r>
    </w:p>
    <w:p w:rsidR="00543D96" w:rsidRDefault="00543D96" w:rsidP="00543D96">
      <w:pPr>
        <w:autoSpaceDE w:val="0"/>
        <w:autoSpaceDN w:val="0"/>
        <w:adjustRightInd w:val="0"/>
        <w:spacing w:after="0" w:line="240" w:lineRule="auto"/>
        <w:jc w:val="both"/>
        <w:rPr>
          <w:rFonts w:ascii="Arial" w:hAnsi="Arial" w:cs="Arial"/>
        </w:rPr>
      </w:pPr>
      <w:r>
        <w:rPr>
          <w:rFonts w:ascii="Arial" w:hAnsi="Arial" w:cs="Arial"/>
        </w:rPr>
        <w:t>- Quartiers de la politique de la ville – QPV,</w:t>
      </w:r>
    </w:p>
    <w:p w:rsidR="00543D96" w:rsidRDefault="00543D96" w:rsidP="00543D96">
      <w:pPr>
        <w:autoSpaceDE w:val="0"/>
        <w:autoSpaceDN w:val="0"/>
        <w:adjustRightInd w:val="0"/>
        <w:spacing w:after="0" w:line="240" w:lineRule="auto"/>
        <w:jc w:val="both"/>
        <w:rPr>
          <w:rFonts w:ascii="Arial" w:hAnsi="Arial" w:cs="Arial"/>
        </w:rPr>
      </w:pPr>
      <w:r>
        <w:rPr>
          <w:rFonts w:ascii="Arial" w:hAnsi="Arial" w:cs="Arial"/>
        </w:rPr>
        <w:t>- Commune des zones de revitalisation rurale – ZRR et bassins de vie comprenant au moins 50% de la population en zone de revitalisation rurale,</w:t>
      </w:r>
    </w:p>
    <w:p w:rsidR="00543D96" w:rsidRDefault="00543D96" w:rsidP="00543D96">
      <w:pPr>
        <w:autoSpaceDE w:val="0"/>
        <w:autoSpaceDN w:val="0"/>
        <w:adjustRightInd w:val="0"/>
        <w:spacing w:after="0" w:line="240" w:lineRule="auto"/>
        <w:jc w:val="both"/>
        <w:rPr>
          <w:rFonts w:ascii="Arial" w:hAnsi="Arial" w:cs="Arial"/>
        </w:rPr>
      </w:pPr>
      <w:r>
        <w:rPr>
          <w:rFonts w:ascii="Arial" w:hAnsi="Arial" w:cs="Arial"/>
        </w:rPr>
        <w:t>- Communes des PETR ou EPCI engagés dans un contrat de ruralité</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jc w:val="both"/>
        <w:rPr>
          <w:rFonts w:ascii="Arial-Bold" w:hAnsi="Arial-Bold" w:cs="Arial-Bold"/>
          <w:b/>
          <w:bCs/>
        </w:rPr>
      </w:pPr>
      <w:proofErr w:type="gramStart"/>
      <w:r>
        <w:rPr>
          <w:rFonts w:ascii="Arial-Bold" w:hAnsi="Arial-Bold" w:cs="Arial-Bold"/>
          <w:b/>
          <w:bCs/>
        </w:rPr>
        <w:t>OU</w:t>
      </w:r>
      <w:proofErr w:type="gramEnd"/>
      <w:r>
        <w:rPr>
          <w:rFonts w:ascii="Arial-Bold" w:hAnsi="Arial-Bold" w:cs="Arial-Bold"/>
          <w:b/>
          <w:bCs/>
        </w:rPr>
        <w:t xml:space="preserve"> </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ind w:left="708"/>
        <w:jc w:val="both"/>
        <w:rPr>
          <w:rFonts w:ascii="Arial-Bold" w:hAnsi="Arial-Bold" w:cs="Arial-Bold"/>
          <w:b/>
          <w:bCs/>
        </w:rPr>
      </w:pPr>
      <w:r>
        <w:rPr>
          <w:rFonts w:ascii="Wingdings" w:hAnsi="Wingdings" w:cs="Wingdings"/>
        </w:rPr>
        <w:t></w:t>
      </w:r>
      <w:r>
        <w:rPr>
          <w:rFonts w:ascii="Wingdings" w:hAnsi="Wingdings" w:cs="Wingdings"/>
        </w:rPr>
        <w:t></w:t>
      </w:r>
      <w:r>
        <w:rPr>
          <w:rFonts w:ascii="Arial-Bold" w:hAnsi="Arial-Bold" w:cs="Arial-Bold"/>
          <w:b/>
          <w:bCs/>
        </w:rPr>
        <w:t>Des critères sociaux :</w:t>
      </w:r>
    </w:p>
    <w:p w:rsidR="00543D96" w:rsidRDefault="00543D96" w:rsidP="00543D96">
      <w:pPr>
        <w:autoSpaceDE w:val="0"/>
        <w:autoSpaceDN w:val="0"/>
        <w:adjustRightInd w:val="0"/>
        <w:spacing w:after="0" w:line="240" w:lineRule="auto"/>
        <w:jc w:val="both"/>
        <w:rPr>
          <w:rFonts w:ascii="Arial" w:hAnsi="Arial" w:cs="Arial"/>
        </w:rPr>
      </w:pPr>
      <w:r>
        <w:rPr>
          <w:rFonts w:ascii="Calibri-Bold" w:hAnsi="Calibri-Bold" w:cs="Calibri-Bold"/>
          <w:b/>
          <w:bCs/>
        </w:rPr>
        <w:t xml:space="preserve">- </w:t>
      </w:r>
      <w:r>
        <w:rPr>
          <w:rFonts w:ascii="Arial" w:hAnsi="Arial" w:cs="Arial"/>
        </w:rPr>
        <w:t>Jeunes sans soutien familial</w:t>
      </w:r>
      <w:r>
        <w:rPr>
          <w:rFonts w:ascii="Arial" w:hAnsi="Arial" w:cs="Arial"/>
          <w:sz w:val="14"/>
          <w:szCs w:val="14"/>
        </w:rPr>
        <w:t xml:space="preserve">4 </w:t>
      </w:r>
      <w:r>
        <w:rPr>
          <w:rFonts w:ascii="Arial" w:hAnsi="Arial" w:cs="Arial"/>
        </w:rPr>
        <w:t>(dont le foyer ne dispose pas de revenus ou de ressources suffisantes pour le soutenir dans son parcours vers l’insertion ou l’autonomie).</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Bénéficiaires de la Garantie Jeunes</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Résidents en Foyer de Jeunes Travailleurs</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Jeune mineur bénéficiant d’un suivi PJJ (Protection Judiciaire de la Jeunesse)</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Bénéficiaire de l’Aide Sociale à l’Enfance ou d’un Contrat Jeune Majeur</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Réfugiés</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jc w:val="both"/>
        <w:rPr>
          <w:rFonts w:ascii="Arial-Bold" w:hAnsi="Arial-Bold" w:cs="Arial-Bold"/>
          <w:b/>
          <w:bCs/>
        </w:rPr>
      </w:pPr>
      <w:proofErr w:type="gramStart"/>
      <w:r>
        <w:rPr>
          <w:rFonts w:ascii="Arial-Bold" w:hAnsi="Arial-Bold" w:cs="Arial-Bold"/>
          <w:b/>
          <w:bCs/>
        </w:rPr>
        <w:t>OU</w:t>
      </w:r>
      <w:proofErr w:type="gramEnd"/>
      <w:r>
        <w:rPr>
          <w:rFonts w:ascii="Arial-Bold" w:hAnsi="Arial-Bold" w:cs="Arial-Bold"/>
          <w:b/>
          <w:bCs/>
        </w:rPr>
        <w:t xml:space="preserve"> </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ind w:left="708"/>
        <w:jc w:val="both"/>
        <w:rPr>
          <w:rFonts w:ascii="Arial-Bold" w:hAnsi="Arial-Bold" w:cs="Arial-Bold"/>
          <w:b/>
          <w:bCs/>
        </w:rPr>
      </w:pPr>
      <w:r>
        <w:rPr>
          <w:rFonts w:ascii="Wingdings" w:hAnsi="Wingdings" w:cs="Wingdings"/>
        </w:rPr>
        <w:t></w:t>
      </w:r>
      <w:r>
        <w:rPr>
          <w:rFonts w:ascii="Wingdings" w:hAnsi="Wingdings" w:cs="Wingdings"/>
        </w:rPr>
        <w:t></w:t>
      </w:r>
      <w:r>
        <w:rPr>
          <w:rFonts w:ascii="Arial-Bold" w:hAnsi="Arial-Bold" w:cs="Arial-Bold"/>
          <w:b/>
          <w:bCs/>
        </w:rPr>
        <w:t>Des critères de niveau de formation :</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Jeunes en situation de décrochage scolaire</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Jeunes sortis du système scolaire sans diplôme qualifiant ou professionnel</w:t>
      </w:r>
    </w:p>
    <w:p w:rsidR="00543D96" w:rsidRDefault="00543D96" w:rsidP="00543D96">
      <w:pPr>
        <w:autoSpaceDE w:val="0"/>
        <w:autoSpaceDN w:val="0"/>
        <w:adjustRightInd w:val="0"/>
        <w:spacing w:after="0" w:line="240" w:lineRule="auto"/>
        <w:jc w:val="both"/>
        <w:rPr>
          <w:rFonts w:ascii="Arial-Bold" w:hAnsi="Arial-Bold" w:cs="Arial-Bold"/>
          <w:b/>
          <w:bCs/>
        </w:rPr>
      </w:pPr>
      <w:r>
        <w:rPr>
          <w:rFonts w:ascii="Calibri" w:hAnsi="Calibri" w:cs="Calibri"/>
        </w:rPr>
        <w:t xml:space="preserve">- </w:t>
      </w:r>
      <w:r>
        <w:rPr>
          <w:rFonts w:ascii="Arial" w:hAnsi="Arial" w:cs="Arial"/>
        </w:rPr>
        <w:t>En cours ou fin d’accompagnement Ecole de la 2</w:t>
      </w:r>
      <w:r>
        <w:rPr>
          <w:rFonts w:ascii="Arial" w:hAnsi="Arial" w:cs="Arial"/>
          <w:sz w:val="14"/>
          <w:szCs w:val="14"/>
        </w:rPr>
        <w:t xml:space="preserve">e </w:t>
      </w:r>
      <w:r>
        <w:rPr>
          <w:rFonts w:ascii="Arial" w:hAnsi="Arial" w:cs="Arial"/>
        </w:rPr>
        <w:t>Chance</w:t>
      </w:r>
      <w:r>
        <w:rPr>
          <w:rFonts w:ascii="Arial" w:hAnsi="Arial" w:cs="Arial"/>
          <w:sz w:val="14"/>
          <w:szCs w:val="14"/>
        </w:rPr>
        <w:t xml:space="preserve">5 </w:t>
      </w:r>
      <w:r>
        <w:rPr>
          <w:rFonts w:ascii="Arial" w:hAnsi="Arial" w:cs="Arial"/>
        </w:rPr>
        <w:t xml:space="preserve">ou Centre </w:t>
      </w:r>
      <w:proofErr w:type="spellStart"/>
      <w:r>
        <w:rPr>
          <w:rFonts w:ascii="Arial" w:hAnsi="Arial" w:cs="Arial"/>
        </w:rPr>
        <w:t>Epide</w:t>
      </w:r>
      <w:proofErr w:type="spellEnd"/>
      <w:r>
        <w:rPr>
          <w:rFonts w:ascii="Arial" w:hAnsi="Arial" w:cs="Arial"/>
          <w:sz w:val="14"/>
          <w:szCs w:val="14"/>
        </w:rPr>
        <w:t xml:space="preserve"> </w:t>
      </w:r>
      <w:r>
        <w:rPr>
          <w:rFonts w:ascii="Arial-Bold" w:hAnsi="Arial-Bold" w:cs="Arial-Bold"/>
          <w:b/>
          <w:bCs/>
        </w:rPr>
        <w:t>… / …</w:t>
      </w:r>
    </w:p>
    <w:p w:rsidR="00543D96" w:rsidRDefault="00543D96" w:rsidP="00543D96">
      <w:pPr>
        <w:autoSpaceDE w:val="0"/>
        <w:autoSpaceDN w:val="0"/>
        <w:adjustRightInd w:val="0"/>
        <w:spacing w:after="0" w:line="240" w:lineRule="auto"/>
        <w:jc w:val="both"/>
        <w:rPr>
          <w:rFonts w:ascii="Times New Roman" w:hAnsi="Times New Roman" w:cs="Times New Roman"/>
          <w:sz w:val="24"/>
          <w:szCs w:val="24"/>
        </w:rPr>
      </w:pPr>
    </w:p>
    <w:p w:rsidR="00543D96" w:rsidRDefault="00543D96" w:rsidP="00543D96">
      <w:pPr>
        <w:autoSpaceDE w:val="0"/>
        <w:autoSpaceDN w:val="0"/>
        <w:adjustRightInd w:val="0"/>
        <w:spacing w:after="0" w:line="240" w:lineRule="auto"/>
        <w:jc w:val="both"/>
        <w:rPr>
          <w:rFonts w:ascii="Arial-Bold" w:hAnsi="Arial-Bold" w:cs="Arial-Bold"/>
          <w:b/>
          <w:bCs/>
        </w:rPr>
      </w:pPr>
      <w:proofErr w:type="gramStart"/>
      <w:r>
        <w:rPr>
          <w:rFonts w:ascii="Arial-Bold" w:hAnsi="Arial-Bold" w:cs="Arial-Bold"/>
          <w:b/>
          <w:bCs/>
        </w:rPr>
        <w:t>OU</w:t>
      </w:r>
      <w:proofErr w:type="gramEnd"/>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ind w:left="708"/>
        <w:jc w:val="both"/>
        <w:rPr>
          <w:rFonts w:ascii="Arial-Bold" w:hAnsi="Arial-Bold" w:cs="Arial-Bold"/>
          <w:b/>
          <w:bCs/>
        </w:rPr>
      </w:pPr>
      <w:r>
        <w:rPr>
          <w:rFonts w:ascii="Wingdings" w:hAnsi="Wingdings" w:cs="Wingdings"/>
        </w:rPr>
        <w:t></w:t>
      </w:r>
      <w:r>
        <w:rPr>
          <w:rFonts w:ascii="Wingdings" w:hAnsi="Wingdings" w:cs="Wingdings"/>
        </w:rPr>
        <w:t></w:t>
      </w:r>
      <w:r>
        <w:rPr>
          <w:rFonts w:ascii="Arial-Bold" w:hAnsi="Arial-Bold" w:cs="Arial-Bold"/>
          <w:b/>
          <w:bCs/>
        </w:rPr>
        <w:t>Des critères de niveau de parcours sportif :</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Jeunes ayant une pratique sportive de haut niveau et un projet de formation ou de reconversion dans les métiers visés par le dispositif SESAME :</w:t>
      </w:r>
    </w:p>
    <w:p w:rsidR="00543D96" w:rsidRDefault="00543D96" w:rsidP="00543D96">
      <w:pPr>
        <w:autoSpaceDE w:val="0"/>
        <w:autoSpaceDN w:val="0"/>
        <w:adjustRightInd w:val="0"/>
        <w:spacing w:after="0" w:line="240" w:lineRule="auto"/>
        <w:jc w:val="both"/>
        <w:rPr>
          <w:rFonts w:ascii="Arial-Italic" w:hAnsi="Arial-Italic" w:cs="Arial-Italic"/>
          <w:i/>
          <w:iCs/>
        </w:rPr>
      </w:pPr>
      <w:r>
        <w:rPr>
          <w:rFonts w:ascii="Calibri-Italic" w:hAnsi="Calibri-Italic" w:cs="Calibri-Italic"/>
          <w:i/>
          <w:iCs/>
        </w:rPr>
        <w:t xml:space="preserve">- </w:t>
      </w:r>
      <w:r>
        <w:rPr>
          <w:rFonts w:ascii="Arial-Italic" w:hAnsi="Arial-Italic" w:cs="Arial-Italic"/>
          <w:i/>
          <w:iCs/>
        </w:rPr>
        <w:t>Sportifs de haut niveau (catégories élite, sénior, relève ou reconversion)</w:t>
      </w:r>
    </w:p>
    <w:p w:rsidR="00543D96" w:rsidRDefault="00543D96" w:rsidP="00543D96">
      <w:pPr>
        <w:autoSpaceDE w:val="0"/>
        <w:autoSpaceDN w:val="0"/>
        <w:adjustRightInd w:val="0"/>
        <w:spacing w:after="0" w:line="240" w:lineRule="auto"/>
        <w:jc w:val="both"/>
        <w:rPr>
          <w:rFonts w:ascii="Arial-Italic" w:hAnsi="Arial-Italic" w:cs="Arial-Italic"/>
          <w:i/>
          <w:iCs/>
        </w:rPr>
      </w:pPr>
      <w:r>
        <w:rPr>
          <w:rFonts w:ascii="Calibri-Italic" w:hAnsi="Calibri-Italic" w:cs="Calibri-Italic"/>
          <w:i/>
          <w:iCs/>
        </w:rPr>
        <w:t xml:space="preserve">- </w:t>
      </w:r>
      <w:r>
        <w:rPr>
          <w:rFonts w:ascii="Arial-Italic" w:hAnsi="Arial-Italic" w:cs="Arial-Italic"/>
          <w:i/>
          <w:iCs/>
        </w:rPr>
        <w:t>Sportifs de collectifs nationaux</w:t>
      </w:r>
    </w:p>
    <w:p w:rsidR="00543D96" w:rsidRDefault="00543D96" w:rsidP="00543D96">
      <w:pPr>
        <w:autoSpaceDE w:val="0"/>
        <w:autoSpaceDN w:val="0"/>
        <w:adjustRightInd w:val="0"/>
        <w:spacing w:after="0" w:line="240" w:lineRule="auto"/>
        <w:jc w:val="both"/>
        <w:rPr>
          <w:rFonts w:ascii="Arial-Italic" w:hAnsi="Arial-Italic" w:cs="Arial-Italic"/>
          <w:i/>
          <w:iCs/>
        </w:rPr>
      </w:pPr>
      <w:r>
        <w:rPr>
          <w:rFonts w:ascii="Calibri-Italic" w:hAnsi="Calibri-Italic" w:cs="Calibri-Italic"/>
          <w:i/>
          <w:iCs/>
        </w:rPr>
        <w:t xml:space="preserve">- </w:t>
      </w:r>
      <w:r>
        <w:rPr>
          <w:rFonts w:ascii="Arial-Italic" w:hAnsi="Arial-Italic" w:cs="Arial-Italic"/>
          <w:i/>
          <w:iCs/>
        </w:rPr>
        <w:t>Sportifs espoirs</w:t>
      </w:r>
    </w:p>
    <w:p w:rsidR="00543D96" w:rsidRDefault="00543D96" w:rsidP="00543D96">
      <w:pPr>
        <w:autoSpaceDE w:val="0"/>
        <w:autoSpaceDN w:val="0"/>
        <w:adjustRightInd w:val="0"/>
        <w:spacing w:after="0" w:line="240" w:lineRule="auto"/>
        <w:jc w:val="both"/>
        <w:rPr>
          <w:rFonts w:ascii="Arial-Italic" w:hAnsi="Arial-Italic" w:cs="Arial-Italic"/>
          <w:i/>
          <w:iCs/>
        </w:rPr>
      </w:pPr>
      <w:r>
        <w:rPr>
          <w:rFonts w:ascii="Calibri-Italic" w:hAnsi="Calibri-Italic" w:cs="Calibri-Italic"/>
          <w:i/>
          <w:iCs/>
        </w:rPr>
        <w:t xml:space="preserve">- </w:t>
      </w:r>
      <w:r>
        <w:rPr>
          <w:rFonts w:ascii="Arial-Italic" w:hAnsi="Arial-Italic" w:cs="Arial-Italic"/>
          <w:i/>
          <w:iCs/>
        </w:rPr>
        <w:t>Sportifs sous convention de formation dans un centre de formation de club professionnel agréé par le Ministère</w:t>
      </w:r>
    </w:p>
    <w:p w:rsidR="00543D96" w:rsidRDefault="00543D96" w:rsidP="00543D96">
      <w:pPr>
        <w:autoSpaceDE w:val="0"/>
        <w:autoSpaceDN w:val="0"/>
        <w:adjustRightInd w:val="0"/>
        <w:spacing w:after="0" w:line="240" w:lineRule="auto"/>
        <w:jc w:val="both"/>
        <w:rPr>
          <w:rFonts w:ascii="Arial" w:hAnsi="Arial" w:cs="Arial"/>
        </w:rPr>
      </w:pPr>
      <w:r>
        <w:rPr>
          <w:rFonts w:ascii="Arial" w:hAnsi="Arial" w:cs="Arial"/>
        </w:rPr>
        <w:t>La situation du sportif s'entend au jour de sa demande d'accès au dispositif SESAME. Pour justifier la situation, il conviendra de transmettre l'attestation signée du DTN ou la convention de formation signée avec le centre de formation.</w:t>
      </w:r>
    </w:p>
    <w:p w:rsidR="00543D96" w:rsidRDefault="00543D96" w:rsidP="00543D96">
      <w:pPr>
        <w:autoSpaceDE w:val="0"/>
        <w:autoSpaceDN w:val="0"/>
        <w:adjustRightInd w:val="0"/>
        <w:spacing w:after="0" w:line="240" w:lineRule="auto"/>
        <w:jc w:val="both"/>
        <w:rPr>
          <w:rFonts w:ascii="Arial" w:hAnsi="Arial" w:cs="Arial"/>
        </w:rPr>
      </w:pPr>
    </w:p>
    <w:p w:rsidR="00543D96" w:rsidRDefault="00543D96" w:rsidP="00543D96">
      <w:pPr>
        <w:autoSpaceDE w:val="0"/>
        <w:autoSpaceDN w:val="0"/>
        <w:adjustRightInd w:val="0"/>
        <w:spacing w:after="0" w:line="240" w:lineRule="auto"/>
        <w:jc w:val="both"/>
        <w:rPr>
          <w:rFonts w:ascii="Arial-Bold" w:hAnsi="Arial-Bold" w:cs="Arial-Bold"/>
          <w:b/>
          <w:bCs/>
        </w:rPr>
      </w:pPr>
      <w:proofErr w:type="gramStart"/>
      <w:r>
        <w:rPr>
          <w:rFonts w:ascii="Arial-Bold" w:hAnsi="Arial-Bold" w:cs="Arial-Bold"/>
          <w:b/>
          <w:bCs/>
        </w:rPr>
        <w:t>OU</w:t>
      </w:r>
      <w:proofErr w:type="gramEnd"/>
      <w:r>
        <w:rPr>
          <w:rFonts w:ascii="Arial-Bold" w:hAnsi="Arial-Bold" w:cs="Arial-Bold"/>
          <w:b/>
          <w:bCs/>
        </w:rPr>
        <w:t xml:space="preserve"> </w:t>
      </w:r>
    </w:p>
    <w:p w:rsidR="00543D96" w:rsidRDefault="00543D96" w:rsidP="00543D96">
      <w:pPr>
        <w:autoSpaceDE w:val="0"/>
        <w:autoSpaceDN w:val="0"/>
        <w:adjustRightInd w:val="0"/>
        <w:spacing w:after="0" w:line="240" w:lineRule="auto"/>
        <w:jc w:val="both"/>
        <w:rPr>
          <w:rFonts w:ascii="Arial-Bold" w:hAnsi="Arial-Bold" w:cs="Arial-Bold"/>
          <w:b/>
          <w:bCs/>
        </w:rPr>
      </w:pPr>
    </w:p>
    <w:p w:rsidR="00543D96" w:rsidRDefault="00543D96" w:rsidP="00543D96">
      <w:pPr>
        <w:autoSpaceDE w:val="0"/>
        <w:autoSpaceDN w:val="0"/>
        <w:adjustRightInd w:val="0"/>
        <w:spacing w:after="0" w:line="240" w:lineRule="auto"/>
        <w:jc w:val="both"/>
        <w:rPr>
          <w:rFonts w:ascii="Arial-Italic-Bold" w:hAnsi="Arial-Italic-Bold" w:cs="Arial-Italic-Bold"/>
          <w:b/>
          <w:bCs/>
          <w:i/>
          <w:iCs/>
        </w:rPr>
      </w:pPr>
      <w:r>
        <w:rPr>
          <w:rFonts w:ascii="Wingdings" w:hAnsi="Wingdings" w:cs="Wingdings"/>
        </w:rPr>
        <w:t></w:t>
      </w:r>
      <w:r>
        <w:rPr>
          <w:rFonts w:ascii="Wingdings" w:hAnsi="Wingdings" w:cs="Wingdings"/>
        </w:rPr>
        <w:t></w:t>
      </w:r>
      <w:r>
        <w:rPr>
          <w:rFonts w:ascii="Arial-Bold" w:hAnsi="Arial-Bold" w:cs="Arial-Bold"/>
          <w:b/>
          <w:bCs/>
        </w:rPr>
        <w:t>Des critères de difficultés d’insertion particuliè</w:t>
      </w:r>
      <w:r w:rsidR="00154AA9">
        <w:rPr>
          <w:rFonts w:ascii="Arial-Bold" w:hAnsi="Arial-Bold" w:cs="Arial-Bold"/>
          <w:b/>
          <w:bCs/>
        </w:rPr>
        <w:t>res</w:t>
      </w:r>
      <w:r>
        <w:rPr>
          <w:rFonts w:ascii="Arial-Italic-Bold" w:hAnsi="Arial-Italic-Bold" w:cs="Arial-Italic-Bold"/>
          <w:b/>
          <w:bCs/>
          <w:i/>
          <w:iCs/>
        </w:rPr>
        <w:t xml:space="preserve"> :</w:t>
      </w:r>
    </w:p>
    <w:p w:rsidR="00543D96" w:rsidRDefault="00543D96" w:rsidP="00543D96">
      <w:pPr>
        <w:autoSpaceDE w:val="0"/>
        <w:autoSpaceDN w:val="0"/>
        <w:adjustRightInd w:val="0"/>
        <w:spacing w:after="0" w:line="240" w:lineRule="auto"/>
        <w:jc w:val="both"/>
        <w:rPr>
          <w:rFonts w:ascii="Arial" w:hAnsi="Arial" w:cs="Arial"/>
        </w:rPr>
      </w:pPr>
      <w:r>
        <w:rPr>
          <w:rFonts w:ascii="Calibri" w:hAnsi="Calibri" w:cs="Calibri"/>
        </w:rPr>
        <w:t xml:space="preserve">- </w:t>
      </w:r>
      <w:r>
        <w:rPr>
          <w:rFonts w:ascii="Arial" w:hAnsi="Arial" w:cs="Arial"/>
        </w:rPr>
        <w:t>Jeunes n’entrant pas dans les critères d’éligibilité fixés ci-dessus, dont le projet professionnel est avéré, et dont le parcours ne pourrait être concrétisé sans le concours du dispositif SESAME.</w:t>
      </w:r>
    </w:p>
    <w:p w:rsidR="00543D96" w:rsidRDefault="00543D96" w:rsidP="00543D96">
      <w:pPr>
        <w:autoSpaceDE w:val="0"/>
        <w:autoSpaceDN w:val="0"/>
        <w:adjustRightInd w:val="0"/>
        <w:spacing w:after="0" w:line="240" w:lineRule="auto"/>
        <w:jc w:val="both"/>
        <w:rPr>
          <w:rFonts w:ascii="Arial" w:hAnsi="Arial" w:cs="Arial"/>
        </w:rPr>
      </w:pPr>
      <w:r>
        <w:rPr>
          <w:rFonts w:ascii="Arial" w:hAnsi="Arial" w:cs="Arial"/>
        </w:rPr>
        <w:t xml:space="preserve">A noter : les DRAJES restent garantes de la mise en </w:t>
      </w:r>
      <w:r w:rsidR="00154AA9">
        <w:rPr>
          <w:rFonts w:ascii="Arial" w:hAnsi="Arial" w:cs="Arial"/>
        </w:rPr>
        <w:t>œuvre</w:t>
      </w:r>
      <w:r>
        <w:rPr>
          <w:rFonts w:ascii="Arial" w:hAnsi="Arial" w:cs="Arial"/>
        </w:rPr>
        <w:t xml:space="preserve"> du dispositif SESAME et du maintien de son action en direction des jeunes les plus en difficultés. Pour permettre au dispositif SESAME de répondre aux spécificités d’un territoire, un élargissement au public ci-dessus spécifiés est possible.</w:t>
      </w:r>
    </w:p>
    <w:p w:rsidR="00603D15" w:rsidRDefault="00543D96" w:rsidP="00543D96">
      <w:pPr>
        <w:autoSpaceDE w:val="0"/>
        <w:autoSpaceDN w:val="0"/>
        <w:adjustRightInd w:val="0"/>
        <w:spacing w:after="0" w:line="240" w:lineRule="auto"/>
        <w:jc w:val="both"/>
      </w:pPr>
      <w:r>
        <w:rPr>
          <w:rFonts w:ascii="Arial" w:hAnsi="Arial" w:cs="Arial"/>
        </w:rPr>
        <w:t xml:space="preserve">Cette ouverture devra conserver un caractère dérogatoire </w:t>
      </w:r>
      <w:r>
        <w:rPr>
          <w:rFonts w:ascii="Arial-Bold" w:hAnsi="Arial-Bold" w:cs="Arial-Bold"/>
          <w:b/>
          <w:bCs/>
        </w:rPr>
        <w:t>et ne pas dépasser 5% du nombre d’entrants</w:t>
      </w:r>
      <w:r>
        <w:rPr>
          <w:rFonts w:ascii="Arial" w:hAnsi="Arial" w:cs="Arial"/>
        </w:rPr>
        <w:t>.</w:t>
      </w:r>
    </w:p>
    <w:sectPr w:rsidR="00603D15" w:rsidSect="00543D9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D96" w:rsidRDefault="00543D96" w:rsidP="00543D96">
      <w:pPr>
        <w:spacing w:after="0" w:line="240" w:lineRule="auto"/>
      </w:pPr>
      <w:r>
        <w:separator/>
      </w:r>
    </w:p>
  </w:endnote>
  <w:endnote w:type="continuationSeparator" w:id="0">
    <w:p w:rsidR="00543D96" w:rsidRDefault="00543D96" w:rsidP="0054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Ital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D96" w:rsidRDefault="00543D96" w:rsidP="00543D96">
      <w:pPr>
        <w:spacing w:after="0" w:line="240" w:lineRule="auto"/>
      </w:pPr>
      <w:r>
        <w:separator/>
      </w:r>
    </w:p>
  </w:footnote>
  <w:footnote w:type="continuationSeparator" w:id="0">
    <w:p w:rsidR="00543D96" w:rsidRDefault="00543D96" w:rsidP="0054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96" w:rsidRDefault="00543D96" w:rsidP="00543D96">
    <w:pPr>
      <w:autoSpaceDE w:val="0"/>
      <w:autoSpaceDN w:val="0"/>
      <w:adjustRightInd w:val="0"/>
      <w:spacing w:after="0" w:line="240" w:lineRule="auto"/>
      <w:jc w:val="center"/>
      <w:rPr>
        <w:rFonts w:ascii="Arial-Bold" w:hAnsi="Arial-Bold" w:cs="Arial-Bold"/>
        <w:b/>
        <w:bCs/>
      </w:rPr>
    </w:pPr>
    <w:r>
      <w:rPr>
        <w:rFonts w:ascii="Arial-Bold" w:hAnsi="Arial-Bold" w:cs="Arial-Bold"/>
        <w:b/>
        <w:bCs/>
      </w:rPr>
      <w:t>ANNEXE 1 :</w:t>
    </w:r>
  </w:p>
  <w:p w:rsidR="00543D96" w:rsidRPr="00543D96" w:rsidRDefault="00543D96" w:rsidP="00543D96">
    <w:pPr>
      <w:tabs>
        <w:tab w:val="center" w:pos="5103"/>
        <w:tab w:val="right" w:pos="10466"/>
      </w:tabs>
      <w:autoSpaceDE w:val="0"/>
      <w:autoSpaceDN w:val="0"/>
      <w:adjustRightInd w:val="0"/>
      <w:spacing w:after="0" w:line="240" w:lineRule="auto"/>
      <w:jc w:val="center"/>
      <w:rPr>
        <w:rFonts w:ascii="Arial-Bold" w:hAnsi="Arial-Bold" w:cs="Arial-Bold"/>
        <w:b/>
        <w:bCs/>
        <w:sz w:val="24"/>
        <w:szCs w:val="24"/>
      </w:rPr>
    </w:pPr>
    <w:r w:rsidRPr="00543D96">
      <w:rPr>
        <w:rFonts w:ascii="Arial-Bold" w:hAnsi="Arial-Bold" w:cs="Arial-Bold"/>
        <w:b/>
        <w:bCs/>
        <w:sz w:val="24"/>
        <w:szCs w:val="24"/>
      </w:rPr>
      <w:t>Les publics éligibles au dispositif SESAME</w:t>
    </w:r>
    <w:r w:rsidRPr="00543D96">
      <w:rPr>
        <w:rFonts w:ascii="Arial-Bold" w:hAnsi="Arial-Bold" w:cs="Arial-Bold"/>
        <w:b/>
        <w:bCs/>
        <w:sz w:val="24"/>
        <w:szCs w:val="24"/>
      </w:rPr>
      <w:tab/>
    </w:r>
    <w:r w:rsidRPr="00543D96">
      <w:rPr>
        <w:rFonts w:ascii="Arial-Bold" w:hAnsi="Arial-Bold" w:cs="Arial-Bold"/>
        <w:b/>
        <w:bCs/>
        <w:sz w:val="24"/>
        <w:szCs w:val="24"/>
      </w:rPr>
      <w:tab/>
    </w:r>
    <w:r w:rsidRPr="00543D96">
      <w:rPr>
        <w:noProof/>
        <w:sz w:val="24"/>
        <w:szCs w:val="24"/>
        <w:lang w:eastAsia="fr-FR"/>
      </w:rPr>
      <w:drawing>
        <wp:inline distT="0" distB="0" distL="0" distR="0" wp14:anchorId="0F1E79F7" wp14:editId="1F39A457">
          <wp:extent cx="1244059" cy="400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868" cy="423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96"/>
    <w:rsid w:val="00154AA9"/>
    <w:rsid w:val="00543D96"/>
    <w:rsid w:val="00603D15"/>
    <w:rsid w:val="00AC08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440A9B-B839-42A0-B978-A4EC9047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D96"/>
    <w:pPr>
      <w:tabs>
        <w:tab w:val="center" w:pos="4536"/>
        <w:tab w:val="right" w:pos="9072"/>
      </w:tabs>
      <w:spacing w:after="0" w:line="240" w:lineRule="auto"/>
    </w:pPr>
  </w:style>
  <w:style w:type="character" w:customStyle="1" w:styleId="En-tteCar">
    <w:name w:val="En-tête Car"/>
    <w:basedOn w:val="Policepardfaut"/>
    <w:link w:val="En-tte"/>
    <w:uiPriority w:val="99"/>
    <w:rsid w:val="00543D96"/>
  </w:style>
  <w:style w:type="paragraph" w:styleId="Pieddepage">
    <w:name w:val="footer"/>
    <w:basedOn w:val="Normal"/>
    <w:link w:val="PieddepageCar"/>
    <w:uiPriority w:val="99"/>
    <w:unhideWhenUsed/>
    <w:rsid w:val="00543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2227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bfeutrier1</cp:lastModifiedBy>
  <cp:revision>2</cp:revision>
  <dcterms:created xsi:type="dcterms:W3CDTF">2022-02-01T08:17:00Z</dcterms:created>
  <dcterms:modified xsi:type="dcterms:W3CDTF">2022-02-01T08:17:00Z</dcterms:modified>
</cp:coreProperties>
</file>